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Liity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</w:t>
      </w:r>
      <w:r w:rsidDel="00000000" w:rsidR="00000000" w:rsidRPr="00000000">
        <w:rPr>
          <w:sz w:val="24"/>
          <w:szCs w:val="24"/>
          <w:rtl w:val="0"/>
        </w:rPr>
        <w:t xml:space="preserve">-kampanjaan ja auta meitä  lisäämään tietoisuutta rokotuksen tärkeydestä ja eduista kaikissa elämänvaiheissa. Kausi-influenssarokotusta suositellaan erityisesti riskiryhmille, kuten raskaina oleville naisille sekä perussairauksista kärsiville. Muiden suojautumiskeinojen lisänä rokotus auttaa pitämään meidät kaikki turvassa talvikuukausien aikana.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Toivomme, että tuellasi nämä viestit leviävät mahdollisimman laajalle. Tästä löydät  suomeksi käännettyä kampanjamateriaalia, jota voit halutessasi käyttää uutiskirjeissäsi, verkkosivustoillasi tai sosiaalisessa mediassa.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Yhdessä me olemme suojassa #UnitedInProtection.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Kampanjakortti orgaaniseen levitykseen sosiaalisessa mediassa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Vuosittainen rokotus auttaa ehkäisemään </w:t>
              <w:br w:type="textWrapping"/>
              <w:t xml:space="preserve">influenssaa ja sen komplikaatioita.</w:t>
            </w:r>
          </w:p>
          <w:p w:rsidR="00000000" w:rsidDel="00000000" w:rsidP="00000000" w:rsidRDefault="00000000" w:rsidRPr="00000000" w14:paraId="0000001C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Hanki rokotus: pane rokote hommiin.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Influenssa voi olla  vaarallinen riskiryhmille, kuten: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​raskaana oleville naisille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​pikkulapsille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​​vanhemmalle väestölle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immuunipuutteisille.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Hankkimalla rokotuksen suojaat  itseäsi ja  läheisiäsi.​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🔗​lue lisää  klikkaamalla linkkiä.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👉 Rokotuksella ​suojaamme itseämme ja  läheisiämme kausi-influenssalta​.​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Valitse tänä vuodenaikana turvallinen ja tehokas vaihtoehto.​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Lue lisää 🔗​[link] 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3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i-F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FE092C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XTyHFXYX3VA7mwaERwqpI7iD5g==">AMUW2mUxmq9G7e022eJJ0beS4rjIA2qzspXop/OvbSF0mXIsnp3PgK3nHzUkUEULHM1FZ7xsmnb7ldOz61X0ynmunktNPgu827cHfdBe/zXd+I4HzZ1Yj04=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2022-12-12T09:18:00Z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