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bookmarkStart w:colFirst="0" w:colLast="0" w:name="_heading=h.gjdgxs" w:id="0"/>
      <w:bookmarkEnd w:id="0"/>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Stepping up protection against seasonal influenza</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Machen Sie bei der Kampagne </w:t>
      </w:r>
      <w:r w:rsidDel="00000000" w:rsidR="00000000" w:rsidRPr="00000000">
        <w:rPr>
          <w:rFonts w:ascii="Roboto" w:cs="Roboto" w:eastAsia="Roboto" w:hAnsi="Roboto"/>
          <w:i w:val="1"/>
          <w:sz w:val="24"/>
          <w:szCs w:val="24"/>
          <w:rtl w:val="0"/>
        </w:rPr>
        <w:t xml:space="preserve">#UnitedInProtection</w:t>
      </w:r>
      <w:r w:rsidDel="00000000" w:rsidR="00000000" w:rsidRPr="00000000">
        <w:rPr>
          <w:rFonts w:ascii="Roboto" w:cs="Roboto" w:eastAsia="Roboto" w:hAnsi="Roboto"/>
          <w:sz w:val="24"/>
          <w:szCs w:val="24"/>
          <w:rtl w:val="0"/>
        </w:rPr>
        <w:t xml:space="preserve"> mit und helfen Sie uns, das Bewusstsein für die Bedeutung und den Nutzen von Impfungen in jeder Lebensphase zu schärfen. Die saisonale Grippeimpfung wird insbesondere für die am stärksten gefährdeten Bevölkerungsgruppen empfohlen, z. B. für schwangere Frauen und Menschen mit Vorerkrankungen. Zusammen mit anderen Schutzmaßnahmen kann die Impfung dazu beitragen, dass jeder die Wintermonate sicher übersteht.</w:t>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Fonts w:ascii="Roboto" w:cs="Roboto" w:eastAsia="Roboto" w:hAnsi="Roboto"/>
          <w:sz w:val="24"/>
          <w:szCs w:val="24"/>
          <w:rtl w:val="0"/>
        </w:rPr>
        <w:t xml:space="preserve">Mit Ihrer Hilfe hoffen wir, diese Botschaften weitgehend verbreiten zu können. Hier finden Sie einige der Kampagnenmaterialien, die in Ihre Sprache übersetzt wurden und die Sie vielleicht in Ihren Newslettern, auf Ihren Webseiten und in den sozialen Medien einsetzen möchten. Gemeinsam sind wir #UnitedInProtection.</w:t>
      </w: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rtl w:val="0"/>
              </w:rPr>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sz w:val="24"/>
                <w:szCs w:val="24"/>
                <w:rtl w:val="0"/>
              </w:rPr>
              <w:t xml:space="preserve">Eine jährliche Impfung schützt Sie</w:t>
              <w:br w:type="textWrapping"/>
              <w:t xml:space="preserve">vor der Grippe und ihren Komplikationen.</w:t>
              <w:br w:type="textWrapping"/>
              <w:br w:type="textWrapping"/>
              <w:t xml:space="preserve">Impfen lassen: Impfstoffe wirken.</w:t>
            </w:r>
          </w:p>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rtl w:val="0"/>
              </w:rPr>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sz w:val="24"/>
                <w:szCs w:val="24"/>
              </w:rPr>
            </w:pPr>
            <w:r w:rsidDel="00000000" w:rsidR="00000000" w:rsidRPr="00000000">
              <w:rPr>
                <w:i w:val="1"/>
                <w:rtl w:val="0"/>
              </w:rPr>
              <w:t xml:space="preserve">#UnitedInProtection</w:t>
            </w:r>
            <w:r w:rsidDel="00000000" w:rsidR="00000000" w:rsidRPr="00000000">
              <w:rPr>
                <w:rtl w:val="0"/>
              </w:rPr>
            </w:r>
          </w:p>
        </w:tc>
      </w:tr>
    </w:tbl>
    <w:p w:rsidR="00000000" w:rsidDel="00000000" w:rsidP="00000000" w:rsidRDefault="00000000" w:rsidRPr="00000000" w14:paraId="0000001E">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1F">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0">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1">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2">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3">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4">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rtl w:val="0"/>
        </w:rPr>
      </w:r>
    </w:p>
    <w:tbl>
      <w:tblPr>
        <w:tblStyle w:val="Table2"/>
        <w:tblW w:w="744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4684"/>
        <w:tblGridChange w:id="0">
          <w:tblGrid>
            <w:gridCol w:w="2760"/>
            <w:gridCol w:w="4684"/>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9">
            <w:pPr>
              <w:widowControl w:val="0"/>
              <w:spacing w:line="240" w:lineRule="auto"/>
              <w:rPr>
                <w:b w:val="1"/>
                <w:sz w:val="24"/>
                <w:szCs w:val="24"/>
              </w:rPr>
            </w:pPr>
            <w:r w:rsidDel="00000000" w:rsidR="00000000" w:rsidRPr="00000000">
              <w:rPr>
                <w:b w:val="1"/>
                <w:sz w:val="24"/>
                <w:szCs w:val="24"/>
                <w:rtl w:val="0"/>
              </w:rPr>
              <w:t xml:space="preserve">Copy post suggestion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A">
            <w:pPr>
              <w:jc w:val="both"/>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B">
            <w:pPr>
              <w:jc w:val="both"/>
              <w:rPr>
                <w:rFonts w:ascii="Calibri" w:cs="Calibri" w:eastAsia="Calibri" w:hAnsi="Calibri"/>
              </w:rPr>
            </w:pPr>
            <w:r w:rsidDel="00000000" w:rsidR="00000000" w:rsidRPr="00000000">
              <w:rPr>
                <w:rFonts w:ascii="Calibri" w:cs="Calibri" w:eastAsia="Calibri" w:hAnsi="Calibri"/>
                <w:rtl w:val="0"/>
              </w:rPr>
              <w:t xml:space="preserve">Die Grippe kann für Risikogruppen gefährlich sein, wie z. B.:</w:t>
            </w:r>
          </w:p>
          <w:p w:rsidR="00000000" w:rsidDel="00000000" w:rsidP="00000000" w:rsidRDefault="00000000" w:rsidRPr="00000000" w14:paraId="0000002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Schwangere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Kleinkinder</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Ältere Menschen</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Immungeschwächte Menschen</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rPr>
            </w:pPr>
            <w:r w:rsidDel="00000000" w:rsidR="00000000" w:rsidRPr="00000000">
              <w:rPr>
                <w:rFonts w:ascii="Calibri" w:cs="Calibri" w:eastAsia="Calibri" w:hAnsi="Calibri"/>
                <w:rtl w:val="0"/>
              </w:rPr>
              <w:t xml:space="preserve">Lassen Sie sich impfen, um sich und Ihre Lieben zu schützen.​</w:t>
            </w:r>
          </w:p>
          <w:p w:rsidR="00000000" w:rsidDel="00000000" w:rsidP="00000000" w:rsidRDefault="00000000" w:rsidRPr="00000000" w14:paraId="0000003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w:t>
            </w:r>
            <w:r w:rsidDel="00000000" w:rsidR="00000000" w:rsidRPr="00000000">
              <w:rPr>
                <w:rtl w:val="0"/>
              </w:rPr>
              <w:t xml:space="preserve"> </w:t>
            </w:r>
            <w:r w:rsidDel="00000000" w:rsidR="00000000" w:rsidRPr="00000000">
              <w:rPr>
                <w:rFonts w:ascii="Calibri" w:cs="Calibri" w:eastAsia="Calibri" w:hAnsi="Calibri"/>
                <w:rtl w:val="0"/>
              </w:rPr>
              <w:t xml:space="preserve">Klicken Sie auf den Link, um mehr zu erfahren.</w:t>
            </w:r>
          </w:p>
          <w:p w:rsidR="00000000" w:rsidDel="00000000" w:rsidP="00000000" w:rsidRDefault="00000000" w:rsidRPr="00000000" w14:paraId="0000003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shd w:fill="ffffff" w:val="clear"/>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Mit einer Impfung ​</w:t>
            </w:r>
            <w:r w:rsidDel="00000000" w:rsidR="00000000" w:rsidRPr="00000000">
              <w:rPr>
                <w:rtl w:val="0"/>
              </w:rPr>
              <w:t xml:space="preserve"> </w:t>
            </w:r>
            <w:r w:rsidDel="00000000" w:rsidR="00000000" w:rsidRPr="00000000">
              <w:rPr>
                <w:rFonts w:ascii="Calibri" w:cs="Calibri" w:eastAsia="Calibri" w:hAnsi="Calibri"/>
                <w:rtl w:val="0"/>
              </w:rPr>
              <w:t xml:space="preserve">können wir uns und unsere Mitmenschen vor der saisonalen Grippe schützen ​.​</w:t>
            </w:r>
          </w:p>
          <w:p w:rsidR="00000000" w:rsidDel="00000000" w:rsidP="00000000" w:rsidRDefault="00000000" w:rsidRPr="00000000" w14:paraId="00000039">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A">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Entscheiden Sie sich in dieser Saison für die sichere und effektive Option.​</w:t>
            </w:r>
          </w:p>
          <w:p w:rsidR="00000000" w:rsidDel="00000000" w:rsidP="00000000" w:rsidRDefault="00000000" w:rsidRPr="00000000" w14:paraId="0000003B">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Erfahren Sie mehr unter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​[link] </w:t>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 </w:t>
            </w:r>
          </w:p>
        </w:tc>
      </w:tr>
    </w:tbl>
    <w:p w:rsidR="00000000" w:rsidDel="00000000" w:rsidP="00000000" w:rsidRDefault="00000000" w:rsidRPr="00000000" w14:paraId="0000003F">
      <w:pPr>
        <w:rPr>
          <w:sz w:val="20"/>
          <w:szCs w:val="20"/>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character" w:styleId="Rimandocommento">
    <w:name w:val="annotation reference"/>
    <w:basedOn w:val="Carpredefinitoparagrafo"/>
    <w:uiPriority w:val="99"/>
    <w:semiHidden w:val="1"/>
    <w:unhideWhenUsed w:val="1"/>
    <w:rsid w:val="00BE4071"/>
    <w:rPr>
      <w:sz w:val="16"/>
      <w:szCs w:val="16"/>
    </w:rPr>
  </w:style>
  <w:style w:type="paragraph" w:styleId="Testocommento">
    <w:name w:val="annotation text"/>
    <w:basedOn w:val="Normale"/>
    <w:link w:val="TestocommentoCarattere"/>
    <w:uiPriority w:val="99"/>
    <w:semiHidden w:val="1"/>
    <w:unhideWhenUsed w:val="1"/>
    <w:rsid w:val="00BE407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BE4071"/>
    <w:rPr>
      <w:sz w:val="20"/>
      <w:szCs w:val="20"/>
    </w:rPr>
  </w:style>
  <w:style w:type="paragraph" w:styleId="Soggettocommento">
    <w:name w:val="annotation subject"/>
    <w:basedOn w:val="Testocommento"/>
    <w:next w:val="Testocommento"/>
    <w:link w:val="SoggettocommentoCarattere"/>
    <w:uiPriority w:val="99"/>
    <w:semiHidden w:val="1"/>
    <w:unhideWhenUsed w:val="1"/>
    <w:rsid w:val="00BE4071"/>
    <w:rPr>
      <w:b w:val="1"/>
      <w:bCs w:val="1"/>
    </w:rPr>
  </w:style>
  <w:style w:type="character" w:styleId="SoggettocommentoCarattere" w:customStyle="1">
    <w:name w:val="Soggetto commento Carattere"/>
    <w:basedOn w:val="TestocommentoCarattere"/>
    <w:link w:val="Soggettocommento"/>
    <w:uiPriority w:val="99"/>
    <w:semiHidden w:val="1"/>
    <w:rsid w:val="00BE4071"/>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D81532"/>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D81532"/>
    <w:rPr>
      <w:rFonts w:ascii="Segoe UI" w:cs="Segoe UI" w:hAnsi="Segoe UI"/>
      <w:sz w:val="18"/>
      <w:szCs w:val="18"/>
    </w:rPr>
  </w:style>
  <w:style w:type="paragraph" w:styleId="Paragrafoelenco">
    <w:name w:val="List Paragraph"/>
    <w:basedOn w:val="Normale"/>
    <w:uiPriority w:val="34"/>
    <w:qFormat w:val="1"/>
    <w:rsid w:val="00D81532"/>
    <w:pPr>
      <w:ind w:left="720"/>
      <w:contextualSpacing w:val="1"/>
    </w:pPr>
  </w:style>
  <w:style w:type="paragraph" w:styleId="Revisione">
    <w:name w:val="Revision"/>
    <w:hidden w:val="1"/>
    <w:uiPriority w:val="99"/>
    <w:semiHidden w:val="1"/>
    <w:rsid w:val="00696270"/>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cqaQiiHANGaiU+hUteXDCwG2/A==">AMUW2mU1IrbKB2ztrcPGB8gL68NXLv97w5vGghrbJikGwyawm8jUgXWNIOMq4KwgZ643Oa9/tdDmg3Q3R+9BqodYh2WW+jFhD8NFcL0JBuBNdgfqc8ANq6/CQoDeNed1qvbNR+GbQd+q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2022-12-13T10:17:00Z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ies>
</file>