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Machen Sie bei der Kampagne </w:t>
      </w:r>
      <w:r w:rsidDel="00000000" w:rsidR="00000000" w:rsidRPr="00000000">
        <w:rPr>
          <w:rFonts w:ascii="Roboto" w:cs="Roboto" w:eastAsia="Roboto" w:hAnsi="Roboto"/>
          <w:i w:val="1"/>
          <w:sz w:val="24"/>
          <w:szCs w:val="24"/>
          <w:rtl w:val="0"/>
        </w:rPr>
        <w:t xml:space="preserve">#UnitedInProtection</w:t>
      </w:r>
      <w:r w:rsidDel="00000000" w:rsidR="00000000" w:rsidRPr="00000000">
        <w:rPr>
          <w:rFonts w:ascii="Roboto" w:cs="Roboto" w:eastAsia="Roboto" w:hAnsi="Roboto"/>
          <w:sz w:val="24"/>
          <w:szCs w:val="24"/>
          <w:rtl w:val="0"/>
        </w:rPr>
        <w:t xml:space="preserve"> mit und helfen Sie uns, das Bewusstsein für die Bedeutung und den Nutzen von Impfungen in jeder Lebensphase zu schärfen. Indem wir uns über die empfohlenen Impfungen und Auffrischungen auf dem Laufenden halten, können wir unsere Lieben und uns selbst vor Krankheiten schützen.</w:t>
      </w:r>
    </w:p>
    <w:p w:rsidR="00000000" w:rsidDel="00000000" w:rsidP="00000000" w:rsidRDefault="00000000" w:rsidRPr="00000000" w14:paraId="0000001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rFonts w:ascii="Roboto" w:cs="Roboto" w:eastAsia="Roboto" w:hAnsi="Roboto"/>
          <w:sz w:val="24"/>
          <w:szCs w:val="24"/>
          <w:rtl w:val="0"/>
        </w:rPr>
        <w:t xml:space="preserve">Mit Ihrer Hilfe hoffen wir, diese Botschaften weitgehend verbreiten zu können. Hier finden Sie einige der Kampagnenmaterialien, die in Ihre Sprache übersetzt wurden und die Sie vielleicht in Ihren Newslettern, auf Ihren Webseiten und in den sozialen Medien einsetzen möchten. Gemeinsam sind wir #UnitedInProtection.</w:t>
      </w: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rtl w:val="0"/>
        </w:rPr>
      </w:r>
    </w:p>
    <w:p w:rsidR="00000000" w:rsidDel="00000000" w:rsidP="00000000" w:rsidRDefault="00000000" w:rsidRPr="00000000" w14:paraId="00000013">
      <w:pPr>
        <w:jc w:val="both"/>
        <w:rPr>
          <w:sz w:val="24"/>
          <w:szCs w:val="24"/>
        </w:rPr>
      </w:pPr>
      <w:r w:rsidDel="00000000" w:rsidR="00000000" w:rsidRPr="00000000">
        <w:rPr>
          <w:rtl w:val="0"/>
        </w:rPr>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rtl w:val="0"/>
        </w:rPr>
      </w:r>
    </w:p>
    <w:p w:rsidR="00000000" w:rsidDel="00000000" w:rsidP="00000000" w:rsidRDefault="00000000" w:rsidRPr="00000000" w14:paraId="00000016">
      <w:pPr>
        <w:jc w:val="both"/>
        <w:rPr>
          <w:sz w:val="24"/>
          <w:szCs w:val="24"/>
        </w:rPr>
      </w:pP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8">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A">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Impfungen retten Leben.</w:t>
            </w:r>
          </w:p>
          <w:p w:rsidR="00000000" w:rsidDel="00000000" w:rsidP="00000000" w:rsidRDefault="00000000" w:rsidRPr="00000000" w14:paraId="0000001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C">
            <w:pPr>
              <w:rPr>
                <w:rFonts w:ascii="Roboto" w:cs="Roboto" w:eastAsia="Roboto" w:hAnsi="Roboto"/>
                <w:sz w:val="24"/>
                <w:szCs w:val="24"/>
                <w:highlight w:val="white"/>
              </w:rPr>
            </w:pPr>
            <w:r w:rsidDel="00000000" w:rsidR="00000000" w:rsidRPr="00000000">
              <w:rPr>
                <w:rFonts w:ascii="Roboto" w:cs="Roboto" w:eastAsia="Roboto" w:hAnsi="Roboto"/>
                <w:sz w:val="24"/>
                <w:szCs w:val="24"/>
                <w:rtl w:val="0"/>
              </w:rPr>
              <w:t xml:space="preserve">Überprüfen Sie Ihren Impfstatus, um sicherzustellen, dass Sie vollständig geschützt sind</w:t>
            </w:r>
            <w:r w:rsidDel="00000000" w:rsidR="00000000" w:rsidRPr="00000000">
              <w:rPr>
                <w:rFonts w:ascii="Roboto" w:cs="Roboto" w:eastAsia="Roboto" w:hAnsi="Roboto"/>
                <w:sz w:val="24"/>
                <w:szCs w:val="24"/>
                <w:highlight w:val="white"/>
                <w:rtl w:val="0"/>
              </w:rPr>
              <w:t xml:space="preserve">.</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Impfen lassen: Impfstoffe wirken.</w:t>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1">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5">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Impfen lassen: Impfstoffe wirken.</w:t>
            </w:r>
          </w:p>
          <w:p w:rsidR="00000000" w:rsidDel="00000000" w:rsidP="00000000" w:rsidRDefault="00000000" w:rsidRPr="00000000" w14:paraId="0000003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tc>
      </w:tr>
    </w:tbl>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Diese vorgeschlagenen Posts können verwendet werden, um die Kernbotschaften der Kampagne in den sozialen Medien zu verbreiten. Sie decken drei verschiedene Blickwinkel ab: Der erste unterstreicht, dass Impfstoffe eine der wirksamsten Methoden zum Schutz vor Krankheiten sind, der zweite spricht über Impfungen als Instrument zur Stärkung der Gesundheit der Bevölkerung und der letzte erinnert an die Notwendigkeit eines lebenslangen Impfschutzes.</w:t>
      </w:r>
    </w:p>
    <w:p w:rsidR="00000000" w:rsidDel="00000000" w:rsidP="00000000" w:rsidRDefault="00000000" w:rsidRPr="00000000" w14:paraId="0000004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2">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3">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4">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5">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6">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Die Impfung ist ein einfacher Weg, um Sie und die Gemeinschaft zu schützen 🫂​</w:t>
            </w:r>
          </w:p>
          <w:p w:rsidR="00000000" w:rsidDel="00000000" w:rsidP="00000000" w:rsidRDefault="00000000" w:rsidRPr="00000000" w14:paraId="00000067">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Impfen lassen: Impfstoffe wirken</w:t>
            </w:r>
            <w:r w:rsidDel="00000000" w:rsidR="00000000" w:rsidRPr="00000000">
              <w:rPr>
                <w:rFonts w:ascii="Roboto" w:cs="Roboto" w:eastAsia="Roboto" w:hAnsi="Roboto"/>
                <w:color w:val="222222"/>
                <w:sz w:val="24"/>
                <w:szCs w:val="24"/>
                <w:rtl w:val="0"/>
              </w:rPr>
              <w:t xml:space="preserve">!</w:t>
            </w:r>
            <w:r w:rsidDel="00000000" w:rsidR="00000000" w:rsidRPr="00000000">
              <w:rPr>
                <w:rtl w:val="0"/>
              </w:rPr>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Mehr erfahren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C">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D">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6E">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 Eine Impfung ist eine der effektivsten Möglichkeiten, sich vor Infektionskrankheiten zu schützen.</w:t>
            </w:r>
          </w:p>
          <w:p w:rsidR="00000000" w:rsidDel="00000000" w:rsidP="00000000" w:rsidRDefault="00000000" w:rsidRPr="00000000" w14:paraId="00000070">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Der Aufwand ist gering, aber er garantiert Ihnen ein gesünderes Leben.​</w:t>
            </w:r>
          </w:p>
          <w:p w:rsidR="00000000" w:rsidDel="00000000" w:rsidP="00000000" w:rsidRDefault="00000000" w:rsidRPr="00000000" w14:paraId="00000072">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Mehr erfahren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tc>
      </w:tr>
      <w:tr>
        <w:trPr>
          <w:cantSplit w:val="0"/>
          <w:tblHeader w:val="0"/>
        </w:trPr>
        <w:tc>
          <w:tcPr/>
          <w:p w:rsidR="00000000" w:rsidDel="00000000" w:rsidP="00000000" w:rsidRDefault="00000000" w:rsidRPr="00000000" w14:paraId="00000074">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 Impfstoffe und Auffrischungsimpfungen helfen uns</w:t>
            </w:r>
          </w:p>
          <w:p w:rsidR="00000000" w:rsidDel="00000000" w:rsidP="00000000" w:rsidRDefault="00000000" w:rsidRPr="00000000" w14:paraId="00000076">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Schützen wir unsere Gesundheit in jeder </w:t>
            </w:r>
            <w:r w:rsidDel="00000000" w:rsidR="00000000" w:rsidRPr="00000000">
              <w:rPr>
                <w:rFonts w:ascii="Roboto" w:cs="Roboto" w:eastAsia="Roboto" w:hAnsi="Roboto"/>
                <w:sz w:val="24"/>
                <w:szCs w:val="24"/>
                <w:rtl w:val="0"/>
              </w:rPr>
              <w:t xml:space="preserve">Lebensphase</w:t>
            </w: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A">
            <w:pPr>
              <w:rPr>
                <w:rFonts w:ascii="Roboto" w:cs="Roboto" w:eastAsia="Roboto" w:hAnsi="Roboto"/>
                <w:color w:val="222222"/>
                <w:sz w:val="24"/>
                <w:szCs w:val="24"/>
              </w:rPr>
            </w:pPr>
            <w:r w:rsidDel="00000000" w:rsidR="00000000" w:rsidRPr="00000000">
              <w:rPr>
                <w:rFonts w:ascii="Roboto" w:cs="Roboto" w:eastAsia="Roboto" w:hAnsi="Roboto"/>
                <w:sz w:val="24"/>
                <w:szCs w:val="24"/>
                <w:rtl w:val="0"/>
              </w:rPr>
              <w:t xml:space="preserve">Impfen lassen: Impfstoffe wirken</w:t>
            </w:r>
            <w:r w:rsidDel="00000000" w:rsidR="00000000" w:rsidRPr="00000000">
              <w:rPr>
                <w:rFonts w:ascii="Roboto" w:cs="Roboto" w:eastAsia="Roboto" w:hAnsi="Roboto"/>
                <w:color w:val="222222"/>
                <w:sz w:val="24"/>
                <w:szCs w:val="24"/>
                <w:rtl w:val="0"/>
              </w:rPr>
              <w:t xml:space="preserve">.</w:t>
            </w:r>
          </w:p>
          <w:p w:rsidR="00000000" w:rsidDel="00000000" w:rsidP="00000000" w:rsidRDefault="00000000" w:rsidRPr="00000000" w14:paraId="0000007B">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C">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Mehr erfahren </w:t>
            </w:r>
            <w:r w:rsidDel="00000000" w:rsidR="00000000" w:rsidRPr="00000000">
              <w:rPr>
                <w:rFonts w:ascii="Quattrocento Sans" w:cs="Quattrocento Sans" w:eastAsia="Quattrocento Sans" w:hAnsi="Quattrocento Sans"/>
                <w:color w:val="222222"/>
                <w:sz w:val="24"/>
                <w:szCs w:val="24"/>
                <w:rtl w:val="0"/>
              </w:rPr>
              <w:t xml:space="preserve">🔗</w:t>
            </w:r>
            <w:r w:rsidDel="00000000" w:rsidR="00000000" w:rsidRPr="00000000">
              <w:rPr>
                <w:rFonts w:ascii="Roboto" w:cs="Roboto" w:eastAsia="Roboto" w:hAnsi="Roboto"/>
                <w:color w:val="222222"/>
                <w:sz w:val="24"/>
                <w:szCs w:val="24"/>
                <w:rtl w:val="0"/>
              </w:rPr>
              <w:t xml:space="preserve">​</w:t>
            </w:r>
          </w:p>
        </w:tc>
      </w:tr>
    </w:tbl>
    <w:p w:rsidR="00000000" w:rsidDel="00000000" w:rsidP="00000000" w:rsidRDefault="00000000" w:rsidRPr="00000000" w14:paraId="0000007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F">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80">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1">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Impfstoffe sind sicher und können</w:t>
              <w:br w:type="textWrapping"/>
              <w:t xml:space="preserve">vor schwerer Krankheit oder Tod schützen.</w:t>
            </w:r>
          </w:p>
          <w:p w:rsidR="00000000" w:rsidDel="00000000" w:rsidP="00000000" w:rsidRDefault="00000000" w:rsidRPr="00000000" w14:paraId="00000082">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Impfen lassen: Impfstoffe wirken. </w:t>
            </w:r>
          </w:p>
          <w:p w:rsidR="00000000" w:rsidDel="00000000" w:rsidP="00000000" w:rsidRDefault="00000000" w:rsidRPr="00000000" w14:paraId="00000083">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4">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Wir schützen uns alle, wenn wir unsere</w:t>
              <w:br w:type="textWrapping"/>
              <w:t xml:space="preserve">Impfungen auf dem neuesten Stand halten.</w:t>
            </w:r>
          </w:p>
          <w:p w:rsidR="00000000" w:rsidDel="00000000" w:rsidP="00000000" w:rsidRDefault="00000000" w:rsidRPr="00000000" w14:paraId="00000085">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Impfen lassen: Impfstoffe wirken.</w:t>
            </w:r>
          </w:p>
          <w:p w:rsidR="00000000" w:rsidDel="00000000" w:rsidP="00000000" w:rsidRDefault="00000000" w:rsidRPr="00000000" w14:paraId="00000086">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87">
            <w:pPr>
              <w:spacing w:after="240" w:befor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Impfstoffe können uns in jeder Lebensphase</w:t>
              <w:br w:type="textWrapping"/>
              <w:t xml:space="preserve">vor Infektionskrankheiten schützen.</w:t>
            </w:r>
          </w:p>
          <w:p w:rsidR="00000000" w:rsidDel="00000000" w:rsidP="00000000" w:rsidRDefault="00000000" w:rsidRPr="00000000" w14:paraId="00000088">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Impfen lassen: Impfstoffe wirken.</w:t>
            </w:r>
          </w:p>
          <w:p w:rsidR="00000000" w:rsidDel="00000000" w:rsidP="00000000" w:rsidRDefault="00000000" w:rsidRPr="00000000" w14:paraId="00000089">
            <w:pPr>
              <w:spacing w:after="240" w:before="240" w:lineRule="auto"/>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#UnitedInProtection</w:t>
            </w:r>
            <w:r w:rsidDel="00000000" w:rsidR="00000000" w:rsidRPr="00000000">
              <w:rPr>
                <w:rtl w:val="0"/>
              </w:rPr>
            </w:r>
          </w:p>
        </w:tc>
      </w:tr>
    </w:tbl>
    <w:p w:rsidR="00000000" w:rsidDel="00000000" w:rsidP="00000000" w:rsidRDefault="00000000" w:rsidRPr="00000000" w14:paraId="0000008A">
      <w:pPr>
        <w:spacing w:after="240" w:before="240" w:lineRule="auto"/>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left w:w="115.0" w:type="dxa"/>
        <w:right w:w="115.0" w:type="dxa"/>
      </w:tblCellMar>
    </w:tblPr>
    <w:tcPr>
      <w:shd w:color="auto" w:fill="ffffff" w:val="clear"/>
    </w:tcPr>
  </w:style>
  <w:style w:type="table" w:styleId="a5" w:customStyle="1">
    <w:basedOn w:val="Tabellanormale"/>
    <w:tblPr>
      <w:tblStyleRowBandSize w:val="1"/>
      <w:tblStyleColBandSize w:val="1"/>
      <w:tblCellMar>
        <w:top w:w="100.0" w:type="dxa"/>
        <w:left w:w="100.0" w:type="dxa"/>
        <w:bottom w:w="100.0" w:type="dxa"/>
        <w:right w:w="100.0" w:type="dxa"/>
      </w:tblCellMar>
    </w:tblPr>
  </w:style>
  <w:style w:type="table" w:styleId="a6" w:customStyle="1">
    <w:basedOn w:val="Tabellanormale"/>
    <w:tblPr>
      <w:tblStyleRowBandSize w:val="1"/>
      <w:tblStyleColBandSize w:val="1"/>
      <w:tblCellMar>
        <w:left w:w="115.0" w:type="dxa"/>
        <w:right w:w="115.0" w:type="dxa"/>
      </w:tblCellMar>
    </w:tblPr>
    <w:tcPr>
      <w:shd w:color="auto" w:fill="ffffff" w:val="clear"/>
    </w:tcPr>
  </w:style>
  <w:style w:type="table" w:styleId="a7" w:customStyle="1">
    <w:basedOn w:val="Tabellanormale"/>
    <w:tblPr>
      <w:tblStyleRowBandSize w:val="1"/>
      <w:tblStyleColBandSize w:val="1"/>
      <w:tblCellMar>
        <w:left w:w="115.0" w:type="dxa"/>
        <w:right w:w="115.0" w:type="dxa"/>
      </w:tblCellMar>
    </w:tblPr>
    <w:tcPr>
      <w:shd w:color="auto" w:fill="ffffff" w:val="clear"/>
    </w:tcPr>
  </w:style>
  <w:style w:type="table" w:styleId="a8" w:customStyle="1">
    <w:basedOn w:val="Tabellanormale"/>
    <w:tblPr>
      <w:tblStyleRowBandSize w:val="1"/>
      <w:tblStyleColBandSize w:val="1"/>
      <w:tblCellMar>
        <w:left w:w="115.0" w:type="dxa"/>
        <w:right w:w="115.0" w:type="dxa"/>
      </w:tblCellMar>
    </w:tblPr>
    <w:tcPr>
      <w:shd w:color="auto" w:fill="ffffff" w:val="clear"/>
    </w:tcPr>
  </w:style>
  <w:style w:type="table" w:styleId="a9" w:customStyle="1">
    <w:basedOn w:val="Tabellanormale"/>
    <w:tblPr>
      <w:tblStyleRowBandSize w:val="1"/>
      <w:tblStyleColBandSize w:val="1"/>
      <w:tblCellMar>
        <w:left w:w="115.0" w:type="dxa"/>
        <w:right w:w="115.0" w:type="dxa"/>
      </w:tblCellMar>
    </w:tblPr>
    <w:tcPr>
      <w:shd w:color="auto" w:fill="ffffff" w:val="clear"/>
    </w:tcPr>
  </w:style>
  <w:style w:type="table" w:styleId="aa" w:customStyle="1">
    <w:basedOn w:val="Tabellanormale"/>
    <w:tblPr>
      <w:tblStyleRowBandSize w:val="1"/>
      <w:tblStyleColBandSize w:val="1"/>
      <w:tblCellMar>
        <w:left w:w="115.0" w:type="dxa"/>
        <w:right w:w="115.0" w:type="dxa"/>
      </w:tblCellMar>
    </w:tblPr>
    <w:tcPr>
      <w:shd w:color="auto" w:fill="ffffff" w:val="clear"/>
    </w:tcPr>
  </w:style>
  <w:style w:type="table" w:styleId="ab" w:customStyle="1">
    <w:basedOn w:val="Tabellanormale"/>
    <w:tblPr>
      <w:tblStyleRowBandSize w:val="1"/>
      <w:tblStyleColBandSize w:val="1"/>
      <w:tblCellMar>
        <w:left w:w="115.0" w:type="dxa"/>
        <w:right w:w="115.0" w:type="dxa"/>
      </w:tblCellMar>
    </w:tblPr>
    <w:tcPr>
      <w:shd w:color="auto" w:fill="ffffff" w:val="clear"/>
    </w:tcPr>
  </w:style>
  <w:style w:type="table" w:styleId="ac" w:customStyle="1">
    <w:basedOn w:val="Tabellanormale"/>
    <w:tblPr>
      <w:tblStyleRowBandSize w:val="1"/>
      <w:tblStyleColBandSize w:val="1"/>
      <w:tblCellMar>
        <w:left w:w="115.0" w:type="dxa"/>
        <w:right w:w="115.0" w:type="dxa"/>
      </w:tblCellMar>
    </w:tblPr>
    <w:tcPr>
      <w:shd w:color="auto" w:fill="ffffff" w:val="clear"/>
    </w:tcPr>
  </w:style>
  <w:style w:type="table" w:styleId="ad" w:customStyle="1">
    <w:basedOn w:val="Tabellanormale"/>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G2zCOcuQOnZ1qHGZdmVXaMmM/Q==">AMUW2mU3qtJd501PouXhDz/cpibeYjmivM2TaYp2BhsNZVI0wdjUpDnOyRwclk59/Z92ZLOuYmCM9tk3JLkpcTqHrIkwsUwhmxoX/5w4QF9ur1vFS+cEbQs=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2022-12-13T10:29:00Z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ies>
</file>