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Ingħaqad mal-kampanja #UnitedInProtection u għinna nqajmu kuxjenza dwar l-importanza u l-benefiċċji tat-tilqim f'kull stadju tal-ħajja. It-tilqim kontra l-papillomavirus uman (HPV) huwa sikur u joffri protezzjoni tajba minn infezzjoni komuni li tista’ tikkawża felul ġenitali jew kanċer. Huwa rrakkomandat kemm għas-subien kif ukoll għall-bniet preadolexxenti.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sz w:val="24"/>
                <w:szCs w:val="24"/>
                <w:rtl w:val="0"/>
              </w:rPr>
              <w:t xml:space="preserve">Bl-appoġġ tiegħek, nittamaw li nxerrdu dawn il-messaġġi ma’ kullimkien. Hawnhekk tista’ ssib xi materjal tal-kampanja tradott fil-lingwa tiegħek li inti tista’ tuża, jekk trid, fil-bullettini, fil-paġni web u fuq il-media soċjali tiegħek. Flimkien, aħna #UnitedInProtection.</w:t>
            </w:r>
            <w:r w:rsidDel="00000000" w:rsidR="00000000" w:rsidRPr="00000000">
              <w:rPr>
                <w:rtl w:val="0"/>
              </w:rPr>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It-tilqim f’waqtu jgħin jipproteġi s-subien</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 u l-bniet mit-trażmissjoni tal-HPV.</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Fonts w:ascii="Calibri" w:cs="Calibri" w:eastAsia="Calibri" w:hAnsi="Calibri"/>
                <w:rtl w:val="0"/>
              </w:rPr>
              <w:t xml:space="preserve">Tlaqqam: ħalli l-vaċċini jaħdmu.</w:t>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It-tilqim kontra l-HPV huwa sikur</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 jista' jgħin biex jiġi evitat il-kanċer.</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Fonts w:ascii="Calibri" w:cs="Calibri" w:eastAsia="Calibri" w:hAnsi="Calibri"/>
                <w:rtl w:val="0"/>
              </w:rPr>
              <w:t xml:space="preserve">Tlaqqam: ħalli l-vaċċini jaħdmu.</w:t>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rPr>
          <w:b w:val="1"/>
          <w:sz w:val="24"/>
          <w:szCs w:val="24"/>
        </w:rPr>
      </w:pPr>
      <w:r w:rsidDel="00000000" w:rsidR="00000000" w:rsidRPr="00000000">
        <w:rPr>
          <w:rtl w:val="0"/>
        </w:rPr>
      </w:r>
    </w:p>
    <w:tbl>
      <w:tblPr>
        <w:tblStyle w:val="Table3"/>
        <w:tblW w:w="7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rtl w:val="0"/>
              </w:rPr>
              <w:t xml:space="preserve">It-tilqim kontra l-papillomavirus</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uman (HPV) jista’ jipprevjeni:</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 infezzjonijiet</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 mard relatat mal-HPV </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kanċer</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Sir af aktar f’🔗​</w:t>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Kont taf li fil-postijiet fejn ħafna nies jieħdu l-vaċċin kontra l-HPV, il-pajjiżi qed jirreġistraw inqas ċelloli prekanċerużi jew anormali?</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Il-vaċċini huma:</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Sikuri</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Effettivi</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Għalhekk, tlaqqam u ħalli l-vaċċini jaħdmu.​</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Sir af aktar permezz tal-link. </w:t>
            </w:r>
          </w:p>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B">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75ZuS15VjBbkRYQ2CBMOUIfEuA==">AMUW2mV6dtoo4XrOAOTaMmGfvNvBmaWnjKHBhUvSsPw7uzpBcEprDkwuIgaaxsb1gUJZ2wcnPPiiZZSKNCdPRzDBmSJI8P8lb/mkpz5AuvkEERlIxLuElZ4=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2022-12-14T10:55:00Z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