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highlight w:val="yellow"/>
        </w:rPr>
      </w:pPr>
      <w:r w:rsidDel="00000000" w:rsidR="00000000" w:rsidRPr="00000000">
        <w:rPr>
          <w:rFonts w:ascii="Roboto" w:cs="Roboto" w:eastAsia="Roboto" w:hAnsi="Roboto"/>
          <w:sz w:val="24"/>
          <w:szCs w:val="24"/>
          <w:rtl w:val="0"/>
        </w:rPr>
        <w:t xml:space="preserve">EU: #HealthUnion</w:t>
      </w:r>
      <w:r w:rsidDel="00000000" w:rsidR="00000000" w:rsidRPr="00000000">
        <w:rPr>
          <w:rFonts w:ascii="Roboto" w:cs="Roboto" w:eastAsia="Roboto" w:hAnsi="Roboto"/>
          <w:sz w:val="24"/>
          <w:szCs w:val="24"/>
          <w:highlight w:val="yellow"/>
          <w:rtl w:val="0"/>
        </w:rPr>
        <w:t xml:space="preserve">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rHeight w:val="3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rPr>
                <w:sz w:val="24"/>
                <w:szCs w:val="24"/>
              </w:rPr>
            </w:pPr>
            <w:r w:rsidDel="00000000" w:rsidR="00000000" w:rsidRPr="00000000">
              <w:rPr>
                <w:color w:val="000000"/>
                <w:sz w:val="24"/>
                <w:szCs w:val="24"/>
                <w:rtl w:val="0"/>
              </w:rPr>
              <w:t xml:space="preserve">Присъединете се към кампанията</w:t>
            </w:r>
            <w:r w:rsidDel="00000000" w:rsidR="00000000" w:rsidRPr="00000000">
              <w:rPr>
                <w:i w:val="1"/>
                <w:color w:val="000000"/>
                <w:sz w:val="24"/>
                <w:szCs w:val="24"/>
                <w:rtl w:val="0"/>
              </w:rPr>
              <w:t xml:space="preserve"> #UnitedInProtection </w:t>
            </w:r>
            <w:r w:rsidDel="00000000" w:rsidR="00000000" w:rsidRPr="00000000">
              <w:rPr>
                <w:color w:val="000000"/>
                <w:sz w:val="24"/>
                <w:szCs w:val="24"/>
                <w:rtl w:val="0"/>
              </w:rPr>
              <w:t xml:space="preserve">и ни помогнете да повишим информираността относно ползите от ваксинирането във всеки един етап от нашия живот.</w:t>
            </w:r>
            <w:r w:rsidDel="00000000" w:rsidR="00000000" w:rsidRPr="00000000">
              <w:rPr>
                <w:sz w:val="24"/>
                <w:szCs w:val="24"/>
                <w:rtl w:val="0"/>
              </w:rPr>
              <w:t xml:space="preserve"> Ваксината срещу човешки папиломавирус (HPV) е безопасна и предлага добра защита срещу често срещаната инфекция, която може да предизвика появата на генитални брадавици или рак. Препоръчва се както за момичета, така и за момчета в предюношеска възраст.</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jc w:val="both"/>
              <w:rPr>
                <w:sz w:val="24"/>
                <w:szCs w:val="24"/>
              </w:rPr>
            </w:pPr>
            <w:r w:rsidDel="00000000" w:rsidR="00000000" w:rsidRPr="00000000">
              <w:rPr>
                <w:color w:val="000000"/>
                <w:sz w:val="24"/>
                <w:szCs w:val="24"/>
                <w:rtl w:val="0"/>
              </w:rPr>
              <w:t xml:space="preserve">Надяваме се с вашата подкрепа това послание да достигне до възможно най-много хора. Тук ще намерите материали за кампанията, преведени на вашия език, които можете да използвате в бюлетини, на уеб страници и в социалните медии. Заедно сме #UnitedInProtection.</w:t>
            </w: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b w:val="1"/>
          <w:sz w:val="26"/>
          <w:szCs w:val="26"/>
        </w:rPr>
      </w:pPr>
      <w:r w:rsidDel="00000000" w:rsidR="00000000" w:rsidRPr="00000000">
        <w:rPr>
          <w:rFonts w:ascii="Roboto" w:cs="Roboto" w:eastAsia="Roboto" w:hAnsi="Roboto"/>
          <w:b w:val="1"/>
          <w:sz w:val="26"/>
          <w:szCs w:val="26"/>
          <w:rtl w:val="0"/>
        </w:rPr>
        <w:t xml:space="preserve">Social media card copy for organic dissemination</w:t>
      </w:r>
    </w:p>
    <w:p w:rsidR="00000000" w:rsidDel="00000000" w:rsidP="00000000" w:rsidRDefault="00000000" w:rsidRPr="00000000" w14:paraId="00000019">
      <w:pPr>
        <w:rPr>
          <w:rFonts w:ascii="Roboto" w:cs="Roboto" w:eastAsia="Roboto" w:hAnsi="Roboto"/>
          <w:b w:val="1"/>
          <w:sz w:val="26"/>
          <w:szCs w:val="26"/>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tbl>
      <w:tblPr>
        <w:tblStyle w:val="Table2"/>
        <w:tblW w:w="465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tblGridChange w:id="0">
          <w:tblGrid>
            <w:gridCol w:w="4650"/>
          </w:tblGrid>
        </w:tblGridChange>
      </w:tblGrid>
      <w:tr>
        <w:trPr>
          <w:cantSplit w:val="0"/>
          <w:trHeight w:val="300" w:hRule="atLeast"/>
          <w:tblHeader w:val="0"/>
        </w:trPr>
        <w:tc>
          <w:tcPr>
            <w:shd w:fill="ffff00" w:val="clear"/>
            <w:tcMar>
              <w:top w:w="100.0" w:type="dxa"/>
              <w:left w:w="100.0" w:type="dxa"/>
              <w:bottom w:w="100.0" w:type="dxa"/>
              <w:right w:w="100.0" w:type="dxa"/>
            </w:tcMar>
          </w:tcPr>
          <w:p w:rsidR="00000000" w:rsidDel="00000000" w:rsidP="00000000" w:rsidRDefault="00000000" w:rsidRPr="00000000" w14:paraId="0000001B">
            <w:pPr>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C">
            <w:pPr>
              <w:shd w:fill="ffffff" w:val="clear"/>
              <w:rPr/>
            </w:pPr>
            <w:r w:rsidDel="00000000" w:rsidR="00000000" w:rsidRPr="00000000">
              <w:rPr>
                <w:rtl w:val="0"/>
              </w:rPr>
              <w:t xml:space="preserve">Навременното ваксиниране спомага за</w:t>
              <w:br w:type="textWrapping"/>
              <w:t xml:space="preserve">предпазването от HPV </w:t>
            </w:r>
            <w:r w:rsidDel="00000000" w:rsidR="00000000" w:rsidRPr="00000000">
              <w:rPr>
                <w:rtl w:val="0"/>
              </w:rPr>
              <w:t xml:space="preserve">както на момичета, така и на момчета.</w:t>
            </w:r>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rtl w:val="0"/>
              </w:rPr>
            </w:r>
          </w:p>
          <w:p w:rsidR="00000000" w:rsidDel="00000000" w:rsidP="00000000" w:rsidRDefault="00000000" w:rsidRPr="00000000" w14:paraId="0000001E">
            <w:pPr>
              <w:shd w:fill="ffffff" w:val="clear"/>
              <w:rPr/>
            </w:pPr>
            <w:r w:rsidDel="00000000" w:rsidR="00000000" w:rsidRPr="00000000">
              <w:rPr>
                <w:rtl w:val="0"/>
              </w:rPr>
              <w:t xml:space="preserve">Ваксинирайте се – пазете всички.</w:t>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b w:val="1"/>
              </w:rPr>
            </w:pPr>
            <w:r w:rsidDel="00000000" w:rsidR="00000000" w:rsidRPr="00000000">
              <w:rPr>
                <w:i w:val="1"/>
                <w:rtl w:val="0"/>
              </w:rPr>
              <w:t xml:space="preserve">#UnitedInProtection</w:t>
            </w:r>
            <w:r w:rsidDel="00000000" w:rsidR="00000000" w:rsidRPr="00000000">
              <w:rPr>
                <w:rtl w:val="0"/>
              </w:rPr>
            </w:r>
          </w:p>
        </w:tc>
      </w:tr>
      <w:tr>
        <w:trPr>
          <w:cantSplit w:val="0"/>
          <w:trHeight w:val="3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rPr>
                <w:rFonts w:ascii="Calibri" w:cs="Calibri" w:eastAsia="Calibri" w:hAnsi="Calibri"/>
                <w:color w:val="000000"/>
              </w:rPr>
            </w:pPr>
            <w:r w:rsidDel="00000000" w:rsidR="00000000" w:rsidRPr="00000000">
              <w:rPr>
                <w:rtl w:val="0"/>
              </w:rPr>
              <w:t xml:space="preserve">Ваксинирането срещу HPV е безопасно</w:t>
              <w:br w:type="textWrapping"/>
              <w:t xml:space="preserve">и може да предотврати развитието на рак.</w:t>
            </w:r>
            <w:r w:rsidDel="00000000" w:rsidR="00000000" w:rsidRPr="00000000">
              <w:rPr>
                <w:rtl w:val="0"/>
              </w:rPr>
            </w:r>
          </w:p>
          <w:p w:rsidR="00000000" w:rsidDel="00000000" w:rsidP="00000000" w:rsidRDefault="00000000" w:rsidRPr="00000000" w14:paraId="00000022">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t xml:space="preserve">Ваксинирайте се – пазете всички.</w:t>
            </w: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b w:val="1"/>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rtl w:val="0"/>
        </w:rPr>
      </w:r>
    </w:p>
    <w:tbl>
      <w:tblPr>
        <w:tblStyle w:val="Table3"/>
        <w:tblW w:w="700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40"/>
        <w:gridCol w:w="4365"/>
        <w:tblGridChange w:id="0">
          <w:tblGrid>
            <w:gridCol w:w="2640"/>
            <w:gridCol w:w="4365"/>
          </w:tblGrid>
        </w:tblGridChange>
      </w:tblGrid>
      <w:tr>
        <w:trPr>
          <w:cantSplit w:val="0"/>
          <w:trHeight w:val="300" w:hRule="atLeast"/>
          <w:tblHeader w:val="0"/>
        </w:trPr>
        <w:tc>
          <w:tcPr>
            <w:shd w:fill="ffff00"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rHeight w:val="3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tl w:val="0"/>
              </w:rPr>
              <w:t xml:space="preserve">Ваксинирането срещу човешки папиломавирус (HPV) може да предотврати:</w:t>
            </w:r>
            <w:r w:rsidDel="00000000" w:rsidR="00000000" w:rsidRPr="00000000">
              <w:rPr>
                <w:rtl w:val="0"/>
              </w:rPr>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tl w:val="0"/>
              </w:rPr>
              <w:t xml:space="preserve">👉​ инфекции</w:t>
            </w: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t xml:space="preserve">👉​ заболявания, свързани с HPV </w:t>
            </w: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tl w:val="0"/>
              </w:rPr>
              <w:t xml:space="preserve">👉​ рак</w:t>
            </w:r>
            <w:r w:rsidDel="00000000" w:rsidR="00000000" w:rsidRPr="00000000">
              <w:rPr>
                <w:rtl w:val="0"/>
              </w:rPr>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t xml:space="preserve">#UnitedInProtection </w:t>
            </w:r>
            <w:r w:rsidDel="00000000" w:rsidR="00000000" w:rsidRPr="00000000">
              <w:rPr>
                <w:rtl w:val="0"/>
              </w:rPr>
            </w:r>
          </w:p>
          <w:p w:rsidR="00000000" w:rsidDel="00000000" w:rsidP="00000000" w:rsidRDefault="00000000" w:rsidRPr="00000000" w14:paraId="0000003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jc w:val="both"/>
              <w:rPr>
                <w:rFonts w:ascii="Calibri" w:cs="Calibri" w:eastAsia="Calibri" w:hAnsi="Calibri"/>
              </w:rPr>
            </w:pPr>
            <w:r w:rsidDel="00000000" w:rsidR="00000000" w:rsidRPr="00000000">
              <w:rPr>
                <w:rtl w:val="0"/>
              </w:rPr>
              <w:t xml:space="preserve">Научете повече тук 🔗​</w:t>
            </w:r>
            <w:r w:rsidDel="00000000" w:rsidR="00000000" w:rsidRPr="00000000">
              <w:rPr>
                <w:rtl w:val="0"/>
              </w:rPr>
            </w:r>
          </w:p>
          <w:p w:rsidR="00000000" w:rsidDel="00000000" w:rsidP="00000000" w:rsidRDefault="00000000" w:rsidRPr="00000000" w14:paraId="00000038">
            <w:pPr>
              <w:spacing w:line="259" w:lineRule="auto"/>
              <w:rPr/>
            </w:pPr>
            <w:r w:rsidDel="00000000" w:rsidR="00000000" w:rsidRPr="00000000">
              <w:rPr>
                <w:rtl w:val="0"/>
              </w:rPr>
            </w:r>
          </w:p>
        </w:tc>
      </w:tr>
      <w:tr>
        <w:trPr>
          <w:cantSplit w:val="0"/>
          <w:trHeight w:val="3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tl w:val="0"/>
              </w:rPr>
              <w:t xml:space="preserve">👉 Знаете ли, че в държавите, където ваксинационното покритие срещу HPV е високо, се отчитат по-малко случаи на предракови и анормални клетки?</w:t>
            </w:r>
            <w:r w:rsidDel="00000000" w:rsidR="00000000" w:rsidRPr="00000000">
              <w:rPr>
                <w:rtl w:val="0"/>
              </w:rPr>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t xml:space="preserve">Ваксините са:</w:t>
            </w:r>
            <w:r w:rsidDel="00000000" w:rsidR="00000000" w:rsidRPr="00000000">
              <w:rPr>
                <w:rtl w:val="0"/>
              </w:rPr>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✅​Безопасни</w:t>
                </w:r>
              </w:sdtContent>
            </w:sdt>
            <w:r w:rsidDel="00000000" w:rsidR="00000000" w:rsidRPr="00000000">
              <w:rPr>
                <w:rtl w:val="0"/>
              </w:rPr>
            </w:r>
          </w:p>
          <w:p w:rsidR="00000000" w:rsidDel="00000000" w:rsidP="00000000" w:rsidRDefault="00000000" w:rsidRPr="00000000" w14:paraId="0000003F">
            <w:pPr>
              <w:widowControl w:val="0"/>
              <w:spacing w:line="240" w:lineRule="auto"/>
              <w:rPr>
                <w:rFonts w:ascii="Calibri" w:cs="Calibri" w:eastAsia="Calibri" w:hAnsi="Calibri"/>
              </w:rPr>
            </w:pPr>
            <w:sdt>
              <w:sdtPr>
                <w:tag w:val="goog_rdk_1"/>
              </w:sdtPr>
              <w:sdtContent>
                <w:r w:rsidDel="00000000" w:rsidR="00000000" w:rsidRPr="00000000">
                  <w:rPr>
                    <w:rFonts w:ascii="Arial Unicode MS" w:cs="Arial Unicode MS" w:eastAsia="Arial Unicode MS" w:hAnsi="Arial Unicode MS"/>
                    <w:rtl w:val="0"/>
                  </w:rPr>
                  <w:t xml:space="preserve">✅​Ефективни</w:t>
                </w:r>
              </w:sdtContent>
            </w:sdt>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rtl w:val="0"/>
              </w:rPr>
              <w:t xml:space="preserve">Ваксинирайте се и дайте възможност на ваксините да си свършат работата.</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t xml:space="preserve"> 🔗​ Научете повече на линка. </w:t>
            </w: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t xml:space="preserve">#UnitedInProtection</w:t>
            </w: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bg-BG"/>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Intestazione">
    <w:name w:val="header"/>
    <w:basedOn w:val="Normale"/>
    <w:link w:val="IntestazioneCarattere"/>
    <w:uiPriority w:val="99"/>
    <w:unhideWhenUsed w:val="1"/>
    <w:rsid w:val="00296D85"/>
    <w:pPr>
      <w:tabs>
        <w:tab w:val="center" w:pos="4536"/>
        <w:tab w:val="right" w:pos="9072"/>
      </w:tabs>
      <w:spacing w:line="240" w:lineRule="auto"/>
    </w:pPr>
  </w:style>
  <w:style w:type="character" w:styleId="IntestazioneCarattere" w:customStyle="1">
    <w:name w:val="Intestazione Carattere"/>
    <w:basedOn w:val="Carpredefinitoparagrafo"/>
    <w:link w:val="Intestazione"/>
    <w:uiPriority w:val="99"/>
    <w:rsid w:val="00296D85"/>
  </w:style>
  <w:style w:type="paragraph" w:styleId="Pidipagina">
    <w:name w:val="footer"/>
    <w:basedOn w:val="Normale"/>
    <w:link w:val="PidipaginaCarattere"/>
    <w:uiPriority w:val="99"/>
    <w:unhideWhenUsed w:val="1"/>
    <w:rsid w:val="00296D85"/>
    <w:pPr>
      <w:tabs>
        <w:tab w:val="center" w:pos="4536"/>
        <w:tab w:val="right" w:pos="9072"/>
      </w:tabs>
      <w:spacing w:line="240" w:lineRule="auto"/>
    </w:pPr>
  </w:style>
  <w:style w:type="character" w:styleId="PidipaginaCarattere" w:customStyle="1">
    <w:name w:val="Piè di pagina Carattere"/>
    <w:basedOn w:val="Carpredefinitoparagrafo"/>
    <w:link w:val="Pidipagina"/>
    <w:uiPriority w:val="99"/>
    <w:rsid w:val="00296D85"/>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qJRD8woEoEva4cWKoF2aIM86IQ==">AMUW2mXFKiKzHBbIkc1g0phfDoc0KwssffiRZN06rwt4AaSNhhpmCDzw94aI23YZGidRqfp+YCdvZ+/10D7r/eXAM0yczH3XCFSpcqn80A2f/KAyi0unzlrNgNGL8kdSTj8VUJWfrl5vBgrLjGzu/KgQ7z/iwKXfjfVEdPIjg3Cr6zItZWYl3Yp6Ajz/gD3WmS8MxYfmrHko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2022-12-05T11:12:00Z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